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5C634" w14:textId="77777777" w:rsidR="00F9755A" w:rsidRDefault="00000000">
      <w:pPr>
        <w:rPr>
          <w:rFonts w:ascii="Cambria" w:eastAsia="Cambria" w:hAnsi="Cambria" w:cs="Cambria"/>
          <w:b/>
          <w:sz w:val="32"/>
          <w:szCs w:val="32"/>
          <w:highlight w:val="white"/>
        </w:rPr>
      </w:pPr>
      <w:r>
        <w:rPr>
          <w:rFonts w:ascii="Cambria" w:eastAsia="Cambria" w:hAnsi="Cambria" w:cs="Cambria"/>
          <w:b/>
          <w:color w:val="000000"/>
          <w:sz w:val="32"/>
          <w:szCs w:val="32"/>
          <w:highlight w:val="white"/>
        </w:rPr>
        <w:t xml:space="preserve">                                      Dashboard Design</w:t>
      </w:r>
    </w:p>
    <w:p w14:paraId="231173F0" w14:textId="21592ADD" w:rsidR="00F9755A" w:rsidRDefault="00F9755A">
      <w:pPr>
        <w:widowControl w:val="0"/>
        <w:spacing w:before="39" w:after="0" w:line="240" w:lineRule="auto"/>
        <w:ind w:left="2701"/>
        <w:rPr>
          <w:b/>
          <w:sz w:val="28"/>
          <w:szCs w:val="28"/>
        </w:rPr>
      </w:pPr>
    </w:p>
    <w:tbl>
      <w:tblPr>
        <w:tblStyle w:val="a"/>
        <w:tblW w:w="90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7"/>
        <w:gridCol w:w="4511"/>
      </w:tblGrid>
      <w:tr w:rsidR="00F9755A" w14:paraId="28C36E11" w14:textId="77777777">
        <w:trPr>
          <w:trHeight w:val="278"/>
        </w:trPr>
        <w:tc>
          <w:tcPr>
            <w:tcW w:w="4507" w:type="dxa"/>
            <w:tcMar>
              <w:top w:w="100" w:type="dxa"/>
              <w:left w:w="100" w:type="dxa"/>
              <w:bottom w:w="100" w:type="dxa"/>
              <w:right w:w="100" w:type="dxa"/>
            </w:tcMar>
          </w:tcPr>
          <w:p w14:paraId="6F9976C1" w14:textId="77777777" w:rsidR="00F9755A" w:rsidRDefault="00000000">
            <w:pPr>
              <w:widowControl w:val="0"/>
              <w:spacing w:after="0" w:line="240" w:lineRule="auto"/>
              <w:ind w:left="131"/>
            </w:pPr>
            <w:r>
              <w:t xml:space="preserve">Date </w:t>
            </w:r>
          </w:p>
        </w:tc>
        <w:tc>
          <w:tcPr>
            <w:tcW w:w="4510" w:type="dxa"/>
            <w:tcMar>
              <w:top w:w="100" w:type="dxa"/>
              <w:left w:w="100" w:type="dxa"/>
              <w:bottom w:w="100" w:type="dxa"/>
              <w:right w:w="100" w:type="dxa"/>
            </w:tcMar>
          </w:tcPr>
          <w:p w14:paraId="6D6DCFA2" w14:textId="38920F04" w:rsidR="00F9755A" w:rsidRDefault="000B288D">
            <w:pPr>
              <w:widowControl w:val="0"/>
              <w:spacing w:after="0" w:line="240" w:lineRule="auto"/>
              <w:ind w:left="131"/>
            </w:pPr>
            <w:r>
              <w:t>05</w:t>
            </w:r>
            <w:r w:rsidR="00933D90">
              <w:t xml:space="preserve"> </w:t>
            </w:r>
            <w:r>
              <w:t>October 2025</w:t>
            </w:r>
          </w:p>
        </w:tc>
      </w:tr>
      <w:tr w:rsidR="00F9755A" w14:paraId="7977D778" w14:textId="77777777">
        <w:trPr>
          <w:trHeight w:val="278"/>
        </w:trPr>
        <w:tc>
          <w:tcPr>
            <w:tcW w:w="4507" w:type="dxa"/>
            <w:tcMar>
              <w:top w:w="100" w:type="dxa"/>
              <w:left w:w="100" w:type="dxa"/>
              <w:bottom w:w="100" w:type="dxa"/>
              <w:right w:w="100" w:type="dxa"/>
            </w:tcMar>
          </w:tcPr>
          <w:p w14:paraId="6C625186" w14:textId="77777777" w:rsidR="00F9755A" w:rsidRDefault="00000000">
            <w:pPr>
              <w:widowControl w:val="0"/>
              <w:spacing w:after="0" w:line="240" w:lineRule="auto"/>
              <w:ind w:left="114"/>
            </w:pPr>
            <w:r>
              <w:t xml:space="preserve">Team ID </w:t>
            </w:r>
          </w:p>
        </w:tc>
        <w:tc>
          <w:tcPr>
            <w:tcW w:w="4510" w:type="dxa"/>
            <w:tcMar>
              <w:top w:w="100" w:type="dxa"/>
              <w:left w:w="100" w:type="dxa"/>
              <w:bottom w:w="100" w:type="dxa"/>
              <w:right w:w="100" w:type="dxa"/>
            </w:tcMar>
          </w:tcPr>
          <w:p w14:paraId="12DE693C" w14:textId="0090E697" w:rsidR="00F9755A" w:rsidRDefault="000B288D">
            <w:pPr>
              <w:widowControl w:val="0"/>
              <w:spacing w:after="0" w:line="240" w:lineRule="auto"/>
              <w:ind w:left="131"/>
            </w:pPr>
            <w:r w:rsidRPr="000B288D">
              <w:t>SWUID20250215169</w:t>
            </w:r>
          </w:p>
        </w:tc>
      </w:tr>
      <w:tr w:rsidR="00F9755A" w14:paraId="6D67DDF3" w14:textId="77777777">
        <w:trPr>
          <w:trHeight w:val="278"/>
        </w:trPr>
        <w:tc>
          <w:tcPr>
            <w:tcW w:w="4507" w:type="dxa"/>
            <w:tcMar>
              <w:top w:w="100" w:type="dxa"/>
              <w:left w:w="100" w:type="dxa"/>
              <w:bottom w:w="100" w:type="dxa"/>
              <w:right w:w="100" w:type="dxa"/>
            </w:tcMar>
          </w:tcPr>
          <w:p w14:paraId="05920B09" w14:textId="77777777" w:rsidR="00F9755A" w:rsidRDefault="00000000">
            <w:pPr>
              <w:widowControl w:val="0"/>
              <w:spacing w:after="0" w:line="240" w:lineRule="auto"/>
              <w:ind w:left="131"/>
            </w:pPr>
            <w:r>
              <w:t xml:space="preserve">Project Name </w:t>
            </w:r>
          </w:p>
        </w:tc>
        <w:tc>
          <w:tcPr>
            <w:tcW w:w="4510" w:type="dxa"/>
            <w:tcMar>
              <w:top w:w="100" w:type="dxa"/>
              <w:left w:w="100" w:type="dxa"/>
              <w:bottom w:w="100" w:type="dxa"/>
              <w:right w:w="100" w:type="dxa"/>
            </w:tcMar>
          </w:tcPr>
          <w:p w14:paraId="4EBE163C" w14:textId="23228F3C" w:rsidR="00F9755A" w:rsidRDefault="000B288D">
            <w:pPr>
              <w:widowControl w:val="0"/>
              <w:spacing w:after="0" w:line="240" w:lineRule="auto"/>
              <w:ind w:left="131"/>
            </w:pPr>
            <w:r w:rsidRPr="000B288D">
              <w:t>Global Food Production Trends and Analysis: A Comprehensive Study from 1961 to 2023 Using Power BI</w:t>
            </w:r>
          </w:p>
        </w:tc>
      </w:tr>
      <w:tr w:rsidR="00F9755A" w14:paraId="3F8E6629" w14:textId="77777777">
        <w:trPr>
          <w:trHeight w:val="278"/>
        </w:trPr>
        <w:tc>
          <w:tcPr>
            <w:tcW w:w="4507" w:type="dxa"/>
            <w:tcMar>
              <w:top w:w="100" w:type="dxa"/>
              <w:left w:w="100" w:type="dxa"/>
              <w:bottom w:w="100" w:type="dxa"/>
              <w:right w:w="100" w:type="dxa"/>
            </w:tcMar>
          </w:tcPr>
          <w:p w14:paraId="44BAB188" w14:textId="77777777" w:rsidR="00F9755A" w:rsidRDefault="00000000">
            <w:pPr>
              <w:widowControl w:val="0"/>
              <w:spacing w:after="0" w:line="240" w:lineRule="auto"/>
              <w:ind w:left="131"/>
            </w:pPr>
            <w:r>
              <w:t xml:space="preserve">Maximum Marks </w:t>
            </w:r>
          </w:p>
        </w:tc>
        <w:tc>
          <w:tcPr>
            <w:tcW w:w="4510" w:type="dxa"/>
            <w:tcMar>
              <w:top w:w="100" w:type="dxa"/>
              <w:left w:w="100" w:type="dxa"/>
              <w:bottom w:w="100" w:type="dxa"/>
              <w:right w:w="100" w:type="dxa"/>
            </w:tcMar>
          </w:tcPr>
          <w:p w14:paraId="49398ACB" w14:textId="177AF182" w:rsidR="00F9755A" w:rsidRDefault="0017660E">
            <w:pPr>
              <w:widowControl w:val="0"/>
              <w:spacing w:after="0" w:line="240" w:lineRule="auto"/>
              <w:ind w:left="125"/>
            </w:pPr>
            <w:proofErr w:type="gramStart"/>
            <w:r>
              <w:t>5  Marks</w:t>
            </w:r>
            <w:proofErr w:type="gramEnd"/>
          </w:p>
        </w:tc>
      </w:tr>
    </w:tbl>
    <w:p w14:paraId="54F2199F" w14:textId="4297CDC6" w:rsidR="00F9755A" w:rsidRDefault="00F9755A">
      <w:pPr>
        <w:widowControl w:val="0"/>
        <w:spacing w:after="0" w:line="276" w:lineRule="auto"/>
        <w:rPr>
          <w:rFonts w:ascii="Cambria" w:eastAsia="Cambria" w:hAnsi="Cambria" w:cs="Cambria"/>
          <w:b/>
          <w:sz w:val="32"/>
          <w:szCs w:val="32"/>
          <w:highlight w:val="white"/>
        </w:rPr>
      </w:pPr>
    </w:p>
    <w:p w14:paraId="66CDC3B9" w14:textId="74DC426C" w:rsidR="00F9755A" w:rsidRDefault="00000000">
      <w:pP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Creating an effective dashboard involves thoughtful design to ensure that the presented information is clear, relevant, and easily understandable for the intended audience. Here are some key principles and best practices for dashboard design</w:t>
      </w:r>
    </w:p>
    <w:p w14:paraId="7EDA7DAC" w14:textId="479A0878" w:rsidR="00F9755A" w:rsidRDefault="00000000">
      <w:pPr>
        <w:rPr>
          <w:rFonts w:ascii="Cambria" w:eastAsia="Cambria" w:hAnsi="Cambria" w:cs="Cambria"/>
          <w:b/>
          <w:color w:val="000000"/>
          <w:sz w:val="24"/>
          <w:szCs w:val="24"/>
          <w:highlight w:val="white"/>
        </w:rPr>
      </w:pPr>
      <w:r>
        <w:rPr>
          <w:rFonts w:ascii="Cambria" w:eastAsia="Cambria" w:hAnsi="Cambria" w:cs="Cambria"/>
          <w:b/>
          <w:color w:val="000000"/>
          <w:sz w:val="32"/>
          <w:szCs w:val="32"/>
          <w:highlight w:val="white"/>
        </w:rPr>
        <w:tab/>
      </w:r>
      <w:r>
        <w:rPr>
          <w:rFonts w:ascii="Cambria" w:eastAsia="Cambria" w:hAnsi="Cambria" w:cs="Cambria"/>
          <w:b/>
          <w:color w:val="000000"/>
          <w:sz w:val="24"/>
          <w:szCs w:val="24"/>
          <w:highlight w:val="white"/>
        </w:rPr>
        <w:t xml:space="preserve">Activity 1: Interactive and visually appealing dashboards </w:t>
      </w:r>
    </w:p>
    <w:p w14:paraId="1F143E26" w14:textId="2A2268B9" w:rsidR="00F9755A" w:rsidRDefault="00000000">
      <w:pPr>
        <w:ind w:left="72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 xml:space="preserve">Creating interactive and visually appealing dashboards involves a combination of thoughtful design, effective use of visual elements, and the incorporation of interactive features. Here are some tips to help you design dashboards that are both visually appealing and engaging for </w:t>
      </w:r>
      <w:proofErr w:type="gramStart"/>
      <w:r>
        <w:rPr>
          <w:rFonts w:ascii="Cambria" w:eastAsia="Cambria" w:hAnsi="Cambria" w:cs="Cambria"/>
          <w:color w:val="000000"/>
          <w:sz w:val="24"/>
          <w:szCs w:val="24"/>
          <w:highlight w:val="white"/>
        </w:rPr>
        <w:t>users</w:t>
      </w:r>
      <w:r w:rsidR="0017660E">
        <w:rPr>
          <w:rFonts w:ascii="Cambria" w:eastAsia="Cambria" w:hAnsi="Cambria" w:cs="Cambria"/>
          <w:color w:val="000000"/>
          <w:sz w:val="24"/>
          <w:szCs w:val="24"/>
          <w:highlight w:val="white"/>
        </w:rPr>
        <w:t xml:space="preserve">  so</w:t>
      </w:r>
      <w:proofErr w:type="gramEnd"/>
      <w:r w:rsidR="0017660E">
        <w:rPr>
          <w:rFonts w:ascii="Cambria" w:eastAsia="Cambria" w:hAnsi="Cambria" w:cs="Cambria"/>
          <w:color w:val="000000"/>
          <w:sz w:val="24"/>
          <w:szCs w:val="24"/>
          <w:highlight w:val="white"/>
        </w:rPr>
        <w:t xml:space="preserve"> take care of below points</w:t>
      </w:r>
    </w:p>
    <w:p w14:paraId="66A10BA6" w14:textId="72B56C31"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Clear and Intuitive Layout</w:t>
      </w:r>
    </w:p>
    <w:p w14:paraId="4B48C2F5" w14:textId="026B829D"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Appropriate Visualizations</w:t>
      </w:r>
    </w:p>
    <w:p w14:paraId="416C212C" w14:textId="77777777"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Colour and Theming</w:t>
      </w:r>
    </w:p>
    <w:p w14:paraId="6C416B99" w14:textId="3CDCAD8B"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Interactive Filters and Slicers</w:t>
      </w:r>
    </w:p>
    <w:p w14:paraId="24C9CBE3" w14:textId="6048CE99"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Drill-Down Capabilities</w:t>
      </w:r>
    </w:p>
    <w:p w14:paraId="4023A4E0" w14:textId="0AFCC7A1"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Responsive Design</w:t>
      </w:r>
    </w:p>
    <w:p w14:paraId="3278EB22" w14:textId="216E7189" w:rsidR="00F9755A" w:rsidRDefault="00000000">
      <w:pPr>
        <w:numPr>
          <w:ilvl w:val="0"/>
          <w:numId w:val="1"/>
        </w:numPr>
        <w:pBdr>
          <w:top w:val="nil"/>
          <w:left w:val="nil"/>
          <w:bottom w:val="nil"/>
          <w:right w:val="nil"/>
          <w:between w:val="nil"/>
        </w:pBdr>
        <w:spacing w:after="0"/>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Custom Visuals and Icons</w:t>
      </w:r>
    </w:p>
    <w:p w14:paraId="63E1554F" w14:textId="1850F4D4" w:rsidR="00F9755A" w:rsidRDefault="00000000">
      <w:pPr>
        <w:numPr>
          <w:ilvl w:val="0"/>
          <w:numId w:val="1"/>
        </w:numPr>
        <w:pBdr>
          <w:top w:val="nil"/>
          <w:left w:val="nil"/>
          <w:bottom w:val="nil"/>
          <w:right w:val="nil"/>
          <w:between w:val="nil"/>
        </w:pBdr>
        <w:rPr>
          <w:rFonts w:ascii="Cambria" w:eastAsia="Cambria" w:hAnsi="Cambria" w:cs="Cambria"/>
          <w:color w:val="000000"/>
          <w:sz w:val="24"/>
          <w:szCs w:val="24"/>
          <w:highlight w:val="white"/>
        </w:rPr>
      </w:pPr>
      <w:r>
        <w:rPr>
          <w:rFonts w:ascii="Cambria" w:eastAsia="Cambria" w:hAnsi="Cambria" w:cs="Cambria"/>
          <w:color w:val="000000"/>
          <w:sz w:val="24"/>
          <w:szCs w:val="24"/>
          <w:highlight w:val="white"/>
        </w:rPr>
        <w:t>Use of Infographics</w:t>
      </w:r>
    </w:p>
    <w:p w14:paraId="5692AF5C" w14:textId="74CD29D3" w:rsidR="00F9755A" w:rsidRDefault="001D3101">
      <w:pPr>
        <w:pBdr>
          <w:top w:val="nil"/>
          <w:left w:val="nil"/>
          <w:bottom w:val="nil"/>
          <w:right w:val="nil"/>
          <w:between w:val="nil"/>
        </w:pBdr>
        <w:spacing w:line="240" w:lineRule="auto"/>
        <w:ind w:left="1080"/>
        <w:rPr>
          <w:rFonts w:ascii="Arial" w:eastAsia="Arial" w:hAnsi="Arial" w:cs="Arial"/>
          <w:color w:val="333333"/>
          <w:sz w:val="20"/>
          <w:szCs w:val="20"/>
        </w:rPr>
      </w:pPr>
      <w:r>
        <w:rPr>
          <w:noProof/>
        </w:rPr>
        <w:drawing>
          <wp:anchor distT="0" distB="0" distL="114300" distR="114300" simplePos="0" relativeHeight="251658240" behindDoc="0" locked="0" layoutInCell="1" allowOverlap="1" wp14:anchorId="35AB6C1B" wp14:editId="6E86908B">
            <wp:simplePos x="0" y="0"/>
            <wp:positionH relativeFrom="column">
              <wp:posOffset>45720</wp:posOffset>
            </wp:positionH>
            <wp:positionV relativeFrom="paragraph">
              <wp:posOffset>43180</wp:posOffset>
            </wp:positionV>
            <wp:extent cx="6004560" cy="3208020"/>
            <wp:effectExtent l="0" t="0" r="0" b="0"/>
            <wp:wrapNone/>
            <wp:docPr id="3757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4560" cy="3208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E3955" w14:textId="752B33FC" w:rsidR="00F9755A" w:rsidRDefault="00F9755A">
      <w:pPr>
        <w:spacing w:after="200" w:line="240" w:lineRule="auto"/>
        <w:rPr>
          <w:rFonts w:ascii="Arial" w:eastAsia="Arial" w:hAnsi="Arial" w:cs="Arial"/>
          <w:sz w:val="20"/>
          <w:szCs w:val="20"/>
        </w:rPr>
      </w:pPr>
    </w:p>
    <w:p w14:paraId="2B993584" w14:textId="3CEB234A" w:rsidR="005E1A7E" w:rsidRDefault="005E1A7E" w:rsidP="0017660E">
      <w:pPr>
        <w:spacing w:after="200" w:line="240" w:lineRule="auto"/>
      </w:pPr>
    </w:p>
    <w:p w14:paraId="2C6F046D" w14:textId="77777777" w:rsidR="005E1A7E" w:rsidRDefault="005E1A7E" w:rsidP="0017660E">
      <w:pPr>
        <w:spacing w:after="200" w:line="240" w:lineRule="auto"/>
      </w:pPr>
    </w:p>
    <w:p w14:paraId="1B323B01" w14:textId="77777777" w:rsidR="005E1A7E" w:rsidRDefault="005E1A7E" w:rsidP="0017660E">
      <w:pPr>
        <w:spacing w:after="200" w:line="240" w:lineRule="auto"/>
      </w:pPr>
    </w:p>
    <w:p w14:paraId="2F4AFFB4" w14:textId="45DECDF6" w:rsidR="00293C5D" w:rsidRDefault="00293C5D" w:rsidP="0017660E">
      <w:pPr>
        <w:spacing w:after="200" w:line="240" w:lineRule="auto"/>
      </w:pPr>
    </w:p>
    <w:p w14:paraId="425C0434" w14:textId="77777777" w:rsidR="005E1A7E" w:rsidRDefault="005E1A7E" w:rsidP="0017660E">
      <w:pPr>
        <w:spacing w:after="200" w:line="240" w:lineRule="auto"/>
      </w:pPr>
    </w:p>
    <w:p w14:paraId="098974B6" w14:textId="77777777" w:rsidR="005E1A7E" w:rsidRDefault="005E1A7E" w:rsidP="0017660E">
      <w:pPr>
        <w:spacing w:after="200" w:line="240" w:lineRule="auto"/>
      </w:pPr>
    </w:p>
    <w:p w14:paraId="6923F96D" w14:textId="77777777" w:rsidR="005E1A7E" w:rsidRDefault="005E1A7E" w:rsidP="0017660E">
      <w:pPr>
        <w:spacing w:after="200" w:line="240" w:lineRule="auto"/>
      </w:pPr>
    </w:p>
    <w:p w14:paraId="2FDE8AAB" w14:textId="77777777" w:rsidR="005E1A7E" w:rsidRDefault="005E1A7E" w:rsidP="0017660E">
      <w:pPr>
        <w:spacing w:after="200" w:line="240" w:lineRule="auto"/>
      </w:pPr>
    </w:p>
    <w:p w14:paraId="59C64A07" w14:textId="77777777" w:rsidR="005E1A7E" w:rsidRPr="00A27A36" w:rsidRDefault="005E1A7E" w:rsidP="005E1A7E">
      <w:pPr>
        <w:rPr>
          <w:b/>
          <w:bCs/>
        </w:rPr>
      </w:pPr>
      <w:r w:rsidRPr="00A27A36">
        <w:rPr>
          <w:rFonts w:ascii="Times New Roman" w:hAnsi="Times New Roman" w:cs="Times New Roman"/>
          <w:b/>
          <w:bCs/>
          <w:sz w:val="24"/>
          <w:szCs w:val="24"/>
        </w:rPr>
        <w:lastRenderedPageBreak/>
        <w:t xml:space="preserve">Highlights:  </w:t>
      </w:r>
    </w:p>
    <w:p w14:paraId="2712C550"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Total Production (2 </w:t>
      </w:r>
      <w:proofErr w:type="gramStart"/>
      <w:r>
        <w:rPr>
          <w:rFonts w:ascii="Times New Roman" w:hAnsi="Times New Roman" w:cs="Times New Roman"/>
          <w:sz w:val="24"/>
          <w:szCs w:val="24"/>
        </w:rPr>
        <w:t>Trillion</w:t>
      </w:r>
      <w:proofErr w:type="gramEnd"/>
      <w:r>
        <w:rPr>
          <w:rFonts w:ascii="Times New Roman" w:hAnsi="Times New Roman" w:cs="Times New Roman"/>
          <w:sz w:val="24"/>
          <w:szCs w:val="24"/>
        </w:rPr>
        <w:t xml:space="preserve"> Tonnes) — The dataset from 1961 to 2023 reveals that global agricultural production has reached nearly 2 trillion tonnes, emphasizing the massive growth in global food supply driven by technological and agronomic advancements.</w:t>
      </w:r>
    </w:p>
    <w:p w14:paraId="16284E94"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Average Annual Production (8.86 </w:t>
      </w:r>
      <w:proofErr w:type="gramStart"/>
      <w:r>
        <w:rPr>
          <w:rFonts w:ascii="Times New Roman" w:hAnsi="Times New Roman" w:cs="Times New Roman"/>
          <w:sz w:val="24"/>
          <w:szCs w:val="24"/>
        </w:rPr>
        <w:t>Billion</w:t>
      </w:r>
      <w:proofErr w:type="gramEnd"/>
      <w:r>
        <w:rPr>
          <w:rFonts w:ascii="Times New Roman" w:hAnsi="Times New Roman" w:cs="Times New Roman"/>
          <w:sz w:val="24"/>
          <w:szCs w:val="24"/>
        </w:rPr>
        <w:t xml:space="preserve"> Tonnes) — Consistent annual output highlights agricultural stability despite global population growth and climate changes.</w:t>
      </w:r>
    </w:p>
    <w:p w14:paraId="235B464E"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Top Crop: Sugar Cane — Sugar Cane dominates global production, confirming its central role in tropical agriculture and bioenergy industries.</w:t>
      </w:r>
    </w:p>
    <w:p w14:paraId="7FA4DD32" w14:textId="77777777" w:rsidR="005E1A7E" w:rsidRDefault="005E1A7E" w:rsidP="005E1A7E">
      <w:pPr>
        <w:pStyle w:val="ListParagraph"/>
        <w:numPr>
          <w:ilvl w:val="0"/>
          <w:numId w:val="3"/>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YoY Growth % (-0.02) — Indicates that the rate of production increase has flattened, showing that the global food system is reaching a mature, stable phase.</w:t>
      </w:r>
    </w:p>
    <w:p w14:paraId="72C6D693" w14:textId="77777777" w:rsidR="005E1A7E" w:rsidRDefault="005E1A7E" w:rsidP="005E1A7E">
      <w:pPr>
        <w:rPr>
          <w:rFonts w:ascii="Times New Roman" w:hAnsi="Times New Roman" w:cs="Times New Roman"/>
          <w:sz w:val="24"/>
          <w:szCs w:val="24"/>
        </w:rPr>
      </w:pPr>
      <w:r>
        <w:rPr>
          <w:rFonts w:ascii="Times New Roman" w:hAnsi="Times New Roman" w:cs="Times New Roman"/>
          <w:sz w:val="24"/>
          <w:szCs w:val="24"/>
        </w:rPr>
        <w:t xml:space="preserve"> Insights from Visuals: </w:t>
      </w:r>
    </w:p>
    <w:p w14:paraId="5122B8B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Production Trend Over </w:t>
      </w:r>
      <w:proofErr w:type="gramStart"/>
      <w:r>
        <w:rPr>
          <w:rFonts w:ascii="Times New Roman" w:hAnsi="Times New Roman" w:cs="Times New Roman"/>
          <w:sz w:val="24"/>
          <w:szCs w:val="24"/>
        </w:rPr>
        <w:t>Time  —</w:t>
      </w:r>
      <w:proofErr w:type="gramEnd"/>
      <w:r>
        <w:rPr>
          <w:rFonts w:ascii="Times New Roman" w:hAnsi="Times New Roman" w:cs="Times New Roman"/>
          <w:sz w:val="24"/>
          <w:szCs w:val="24"/>
        </w:rPr>
        <w:t xml:space="preserve"> A steady upward trend from 1961 to 2010 shows rapid agricultural expansion, while post-2010 data indicates a plateau, suggesting efficiency improvements rather than expansion.</w:t>
      </w:r>
    </w:p>
    <w:p w14:paraId="3C15334D"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Regional </w:t>
      </w:r>
      <w:proofErr w:type="gramStart"/>
      <w:r>
        <w:rPr>
          <w:rFonts w:ascii="Times New Roman" w:hAnsi="Times New Roman" w:cs="Times New Roman"/>
          <w:sz w:val="24"/>
          <w:szCs w:val="24"/>
        </w:rPr>
        <w:t>Comparison  —</w:t>
      </w:r>
      <w:proofErr w:type="gramEnd"/>
    </w:p>
    <w:p w14:paraId="145DDD41"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Asia emerges as the global production hub, driven by large-scale Rice and Sugar Cane cultivation.</w:t>
      </w:r>
    </w:p>
    <w:p w14:paraId="6FFDB6A4"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Americas show strength in Wheat, Maize, and Coffee production.</w:t>
      </w:r>
    </w:p>
    <w:p w14:paraId="73549BF9" w14:textId="77777777" w:rsidR="005E1A7E" w:rsidRDefault="005E1A7E" w:rsidP="005E1A7E">
      <w:pPr>
        <w:numPr>
          <w:ilvl w:val="1"/>
          <w:numId w:val="5"/>
        </w:numPr>
        <w:spacing w:after="200" w:line="276" w:lineRule="auto"/>
        <w:rPr>
          <w:rFonts w:ascii="Times New Roman" w:hAnsi="Times New Roman" w:cs="Times New Roman"/>
          <w:sz w:val="24"/>
          <w:szCs w:val="24"/>
        </w:rPr>
      </w:pPr>
      <w:r>
        <w:rPr>
          <w:rFonts w:ascii="Times New Roman" w:hAnsi="Times New Roman" w:cs="Times New Roman"/>
          <w:sz w:val="24"/>
          <w:szCs w:val="24"/>
        </w:rPr>
        <w:t>Africa demonstrates growth in fruit and coffee yields, marking developing agricultural potential.</w:t>
      </w:r>
    </w:p>
    <w:p w14:paraId="0FF09CF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Crop </w:t>
      </w:r>
      <w:proofErr w:type="gramStart"/>
      <w:r>
        <w:rPr>
          <w:rFonts w:ascii="Times New Roman" w:hAnsi="Times New Roman" w:cs="Times New Roman"/>
          <w:sz w:val="24"/>
          <w:szCs w:val="24"/>
        </w:rPr>
        <w:t>Comparison  —</w:t>
      </w:r>
      <w:proofErr w:type="gramEnd"/>
      <w:r>
        <w:rPr>
          <w:rFonts w:ascii="Times New Roman" w:hAnsi="Times New Roman" w:cs="Times New Roman"/>
          <w:sz w:val="24"/>
          <w:szCs w:val="24"/>
        </w:rPr>
        <w:t xml:space="preserve"> The top three crops — Sugar Cane, Wheat, and Rice — contribute over 70% of global food production, revealing high dependency on limited crop categories.</w:t>
      </w:r>
    </w:p>
    <w:p w14:paraId="1CC26CCD"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Decade-Wise </w:t>
      </w:r>
      <w:proofErr w:type="gramStart"/>
      <w:r>
        <w:rPr>
          <w:rFonts w:ascii="Times New Roman" w:hAnsi="Times New Roman" w:cs="Times New Roman"/>
          <w:sz w:val="24"/>
          <w:szCs w:val="24"/>
        </w:rPr>
        <w:t>Production  —</w:t>
      </w:r>
      <w:proofErr w:type="gramEnd"/>
    </w:p>
    <w:p w14:paraId="69D4A95F" w14:textId="77777777" w:rsidR="005E1A7E" w:rsidRDefault="005E1A7E" w:rsidP="005E1A7E">
      <w:pPr>
        <w:numPr>
          <w:ilvl w:val="1"/>
          <w:numId w:val="6"/>
        </w:numPr>
        <w:spacing w:after="200" w:line="276" w:lineRule="auto"/>
        <w:rPr>
          <w:rFonts w:ascii="Times New Roman" w:hAnsi="Times New Roman" w:cs="Times New Roman"/>
          <w:sz w:val="24"/>
          <w:szCs w:val="24"/>
        </w:rPr>
      </w:pPr>
      <w:r>
        <w:rPr>
          <w:rFonts w:ascii="Times New Roman" w:hAnsi="Times New Roman" w:cs="Times New Roman"/>
          <w:sz w:val="24"/>
          <w:szCs w:val="24"/>
        </w:rPr>
        <w:t>The 2000s and 2010s decades recorded the highest outputs due to technological adoption and better irrigation.</w:t>
      </w:r>
    </w:p>
    <w:p w14:paraId="1E72847F" w14:textId="77777777" w:rsidR="005E1A7E" w:rsidRDefault="005E1A7E" w:rsidP="005E1A7E">
      <w:pPr>
        <w:numPr>
          <w:ilvl w:val="1"/>
          <w:numId w:val="6"/>
        </w:numPr>
        <w:spacing w:after="200" w:line="276" w:lineRule="auto"/>
        <w:rPr>
          <w:rFonts w:ascii="Times New Roman" w:hAnsi="Times New Roman" w:cs="Times New Roman"/>
          <w:sz w:val="24"/>
          <w:szCs w:val="24"/>
        </w:rPr>
      </w:pPr>
      <w:r>
        <w:rPr>
          <w:rFonts w:ascii="Times New Roman" w:hAnsi="Times New Roman" w:cs="Times New Roman"/>
          <w:sz w:val="24"/>
          <w:szCs w:val="24"/>
        </w:rPr>
        <w:t>Early decades (1960s–1980s) reflect gradual capacity building.</w:t>
      </w:r>
    </w:p>
    <w:p w14:paraId="2A51AD97"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Coffee, Green Production by Region — Shows how Africa, Asia, and the Americas share dominant roles in coffee cultivation, highlighting export-oriented agricultural specialization.</w:t>
      </w:r>
    </w:p>
    <w:p w14:paraId="1A7D4F34" w14:textId="77777777" w:rsidR="005E1A7E" w:rsidRDefault="005E1A7E" w:rsidP="005E1A7E">
      <w:pPr>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Regional Crop Growth Table — Offers detailed insights by crop and region, showing Asia with consistent year-over-year gains, while smaller regions fluctuate due to climatic and economic shifts.</w:t>
      </w:r>
    </w:p>
    <w:p w14:paraId="01F269C1" w14:textId="77777777" w:rsidR="005E1A7E" w:rsidRDefault="005E1A7E" w:rsidP="0017660E">
      <w:pPr>
        <w:spacing w:after="200" w:line="240" w:lineRule="auto"/>
      </w:pPr>
    </w:p>
    <w:p w14:paraId="15795E71" w14:textId="77777777" w:rsidR="00A27A36" w:rsidRPr="00A27A36" w:rsidRDefault="00A27A36" w:rsidP="00A27A36"/>
    <w:p w14:paraId="7678F3FE" w14:textId="77777777" w:rsidR="00A27A36" w:rsidRPr="00A27A36" w:rsidRDefault="00A27A36" w:rsidP="00A27A36"/>
    <w:p w14:paraId="2D55C17C" w14:textId="77777777" w:rsidR="00A27A36" w:rsidRPr="00A27A36" w:rsidRDefault="00A27A36" w:rsidP="00A27A36"/>
    <w:p w14:paraId="03C59769" w14:textId="77777777" w:rsidR="00A27A36" w:rsidRPr="00A27A36" w:rsidRDefault="00A27A36" w:rsidP="00A27A36"/>
    <w:p w14:paraId="2F2F494D" w14:textId="77777777" w:rsidR="00A27A36" w:rsidRDefault="00A27A36" w:rsidP="00A27A36"/>
    <w:p w14:paraId="7D82E7F2" w14:textId="2209387C" w:rsidR="00A27A36" w:rsidRPr="00A27A36" w:rsidRDefault="00A27A36" w:rsidP="00A27A36">
      <w:pPr>
        <w:tabs>
          <w:tab w:val="left" w:pos="2592"/>
        </w:tabs>
      </w:pPr>
      <w:r>
        <w:tab/>
      </w:r>
    </w:p>
    <w:sectPr w:rsidR="00A27A36" w:rsidRPr="00A27A36">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F6AF934-90F0-4C5E-9198-0C12A23BA64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CD39732E-8069-4260-9735-DCAF9CC4286D}"/>
    <w:embedBold r:id="rId3" w:fontKey="{82225948-5910-418F-859E-0EFD62335DB1}"/>
  </w:font>
  <w:font w:name="Georgia">
    <w:panose1 w:val="02040502050405020303"/>
    <w:charset w:val="00"/>
    <w:family w:val="roman"/>
    <w:pitch w:val="variable"/>
    <w:sig w:usb0="00000287" w:usb1="00000000" w:usb2="00000000" w:usb3="00000000" w:csb0="0000009F" w:csb1="00000000"/>
    <w:embedRegular r:id="rId4" w:fontKey="{E5AE835B-0530-4FFE-BBDA-E66343689EB2}"/>
    <w:embedItalic r:id="rId5" w:fontKey="{662F94F6-04AE-4AC9-9619-F1922B758A3F}"/>
  </w:font>
  <w:font w:name="Cambria">
    <w:panose1 w:val="02040503050406030204"/>
    <w:charset w:val="00"/>
    <w:family w:val="roman"/>
    <w:pitch w:val="variable"/>
    <w:sig w:usb0="E00006FF" w:usb1="420024FF" w:usb2="02000000" w:usb3="00000000" w:csb0="0000019F" w:csb1="00000000"/>
    <w:embedRegular r:id="rId6" w:fontKey="{BE42D21D-2360-4914-9E8D-568537A475B4}"/>
    <w:embedBold r:id="rId7" w:fontKey="{BDA65A5C-1E54-408E-A8B6-4A79759241D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8" w:fontKey="{85ECEB03-C2F7-4DAD-972F-C83D065205F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0FF5D56"/>
    <w:multiLevelType w:val="multilevel"/>
    <w:tmpl w:val="CBBC8C3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6E106B5"/>
    <w:multiLevelType w:val="multilevel"/>
    <w:tmpl w:val="7B38968A"/>
    <w:lvl w:ilvl="0">
      <w:start w:val="1"/>
      <w:numFmt w:val="decimal"/>
      <w:lvlText w:val="%1."/>
      <w:lvlJc w:val="left"/>
      <w:pPr>
        <w:ind w:left="408" w:hanging="360"/>
      </w:pPr>
    </w:lvl>
    <w:lvl w:ilvl="1">
      <w:start w:val="1"/>
      <w:numFmt w:val="decimal"/>
      <w:isLgl/>
      <w:lvlText w:val="%1.%2"/>
      <w:lvlJc w:val="left"/>
      <w:pPr>
        <w:ind w:left="480" w:hanging="432"/>
      </w:pPr>
      <w:rPr>
        <w:sz w:val="28"/>
      </w:rPr>
    </w:lvl>
    <w:lvl w:ilvl="2">
      <w:start w:val="1"/>
      <w:numFmt w:val="decimal"/>
      <w:isLgl/>
      <w:lvlText w:val="%1.%2.%3"/>
      <w:lvlJc w:val="left"/>
      <w:pPr>
        <w:ind w:left="768" w:hanging="720"/>
      </w:pPr>
      <w:rPr>
        <w:sz w:val="28"/>
      </w:rPr>
    </w:lvl>
    <w:lvl w:ilvl="3">
      <w:start w:val="1"/>
      <w:numFmt w:val="decimal"/>
      <w:isLgl/>
      <w:lvlText w:val="%1.%2.%3.%4"/>
      <w:lvlJc w:val="left"/>
      <w:pPr>
        <w:ind w:left="768" w:hanging="720"/>
      </w:pPr>
      <w:rPr>
        <w:sz w:val="28"/>
      </w:rPr>
    </w:lvl>
    <w:lvl w:ilvl="4">
      <w:start w:val="1"/>
      <w:numFmt w:val="decimal"/>
      <w:isLgl/>
      <w:lvlText w:val="%1.%2.%3.%4.%5"/>
      <w:lvlJc w:val="left"/>
      <w:pPr>
        <w:ind w:left="1128" w:hanging="1080"/>
      </w:pPr>
      <w:rPr>
        <w:sz w:val="28"/>
      </w:rPr>
    </w:lvl>
    <w:lvl w:ilvl="5">
      <w:start w:val="1"/>
      <w:numFmt w:val="decimal"/>
      <w:isLgl/>
      <w:lvlText w:val="%1.%2.%3.%4.%5.%6"/>
      <w:lvlJc w:val="left"/>
      <w:pPr>
        <w:ind w:left="1128" w:hanging="1080"/>
      </w:pPr>
      <w:rPr>
        <w:sz w:val="28"/>
      </w:rPr>
    </w:lvl>
    <w:lvl w:ilvl="6">
      <w:start w:val="1"/>
      <w:numFmt w:val="decimal"/>
      <w:isLgl/>
      <w:lvlText w:val="%1.%2.%3.%4.%5.%6.%7"/>
      <w:lvlJc w:val="left"/>
      <w:pPr>
        <w:ind w:left="1488" w:hanging="1440"/>
      </w:pPr>
      <w:rPr>
        <w:sz w:val="28"/>
      </w:rPr>
    </w:lvl>
    <w:lvl w:ilvl="7">
      <w:start w:val="1"/>
      <w:numFmt w:val="decimal"/>
      <w:isLgl/>
      <w:lvlText w:val="%1.%2.%3.%4.%5.%6.%7.%8"/>
      <w:lvlJc w:val="left"/>
      <w:pPr>
        <w:ind w:left="1488" w:hanging="1440"/>
      </w:pPr>
      <w:rPr>
        <w:sz w:val="28"/>
      </w:rPr>
    </w:lvl>
    <w:lvl w:ilvl="8">
      <w:start w:val="1"/>
      <w:numFmt w:val="decimal"/>
      <w:isLgl/>
      <w:lvlText w:val="%1.%2.%3.%4.%5.%6.%7.%8.%9"/>
      <w:lvlJc w:val="left"/>
      <w:pPr>
        <w:ind w:left="1848" w:hanging="1800"/>
      </w:pPr>
      <w:rPr>
        <w:sz w:val="28"/>
      </w:rPr>
    </w:lvl>
  </w:abstractNum>
  <w:abstractNum w:abstractNumId="2" w15:restartNumberingAfterBreak="0">
    <w:nsid w:val="44F94CDE"/>
    <w:multiLevelType w:val="multilevel"/>
    <w:tmpl w:val="47DE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BC50DE"/>
    <w:multiLevelType w:val="multilevel"/>
    <w:tmpl w:val="34864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655F2A5F"/>
    <w:multiLevelType w:val="multilevel"/>
    <w:tmpl w:val="23EEB74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7FD8592B"/>
    <w:multiLevelType w:val="multilevel"/>
    <w:tmpl w:val="FF76077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61020336">
    <w:abstractNumId w:val="0"/>
  </w:num>
  <w:num w:numId="2" w16cid:durableId="597759194">
    <w:abstractNumId w:val="2"/>
  </w:num>
  <w:num w:numId="3" w16cid:durableId="1100297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934050">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2117358">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42442608">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55A"/>
    <w:rsid w:val="000B288D"/>
    <w:rsid w:val="0017660E"/>
    <w:rsid w:val="001D3101"/>
    <w:rsid w:val="00293C5D"/>
    <w:rsid w:val="005A5B2F"/>
    <w:rsid w:val="005E1A7E"/>
    <w:rsid w:val="008636DF"/>
    <w:rsid w:val="00933D90"/>
    <w:rsid w:val="00A27A36"/>
    <w:rsid w:val="00AD37FB"/>
    <w:rsid w:val="00D043A9"/>
    <w:rsid w:val="00D3353A"/>
    <w:rsid w:val="00F9755A"/>
    <w:rsid w:val="00FF6E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A6692"/>
  <w15:docId w15:val="{3FAF9F86-E290-4697-9FCA-4EA77CB7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7E"/>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E317E"/>
    <w:rPr>
      <w:color w:val="0563C1" w:themeColor="hyperlink"/>
      <w:u w:val="single"/>
    </w:rPr>
  </w:style>
  <w:style w:type="paragraph" w:styleId="ListParagraph">
    <w:name w:val="List Paragraph"/>
    <w:basedOn w:val="Normal"/>
    <w:uiPriority w:val="34"/>
    <w:qFormat/>
    <w:rsid w:val="007E317E"/>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2295073">
      <w:bodyDiv w:val="1"/>
      <w:marLeft w:val="0"/>
      <w:marRight w:val="0"/>
      <w:marTop w:val="0"/>
      <w:marBottom w:val="0"/>
      <w:divBdr>
        <w:top w:val="none" w:sz="0" w:space="0" w:color="auto"/>
        <w:left w:val="none" w:sz="0" w:space="0" w:color="auto"/>
        <w:bottom w:val="none" w:sz="0" w:space="0" w:color="auto"/>
        <w:right w:val="none" w:sz="0" w:space="0" w:color="auto"/>
      </w:divBdr>
    </w:div>
    <w:div w:id="823861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WDxcuUify8Cnrp+LC/CCTGJVw==">CgMxLjA4AHIhMTdFaC1wTlF3SWNHN0dyNU1DWFA0bENxckc4RTFIRnRY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3</Pages>
  <Words>457</Words>
  <Characters>2611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G Sai Sankeerth Yadav</cp:lastModifiedBy>
  <cp:revision>9</cp:revision>
  <dcterms:created xsi:type="dcterms:W3CDTF">2024-01-13T08:54:00Z</dcterms:created>
  <dcterms:modified xsi:type="dcterms:W3CDTF">2025-10-07T12:41:00Z</dcterms:modified>
</cp:coreProperties>
</file>